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5C" w:rsidRDefault="009E1BB1">
      <w:pPr>
        <w:adjustRightInd w:val="0"/>
        <w:snapToGrid w:val="0"/>
        <w:spacing w:line="360" w:lineRule="auto"/>
        <w:jc w:val="center"/>
        <w:rPr>
          <w:rStyle w:val="articletitle"/>
          <w:rFonts w:ascii="仿宋_GB2312" w:eastAsia="仿宋_GB2312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rticletitle"/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t>闽南理工学院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Style w:val="articletitle"/>
          <w:rFonts w:ascii="仿宋_GB2312" w:eastAsia="仿宋_GB2312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rticletitle"/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t>电子与电气工程学院学生创新学分认定办法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Style w:val="articletitle"/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t>（试行稿）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为鼓励本院学生积极参加创新实践活动，引导学生自主性、探索性、实践性学习，提高学生的实践能力，增强学生的创新意识，培养高素质创新型应用型人才，学院实行学生创新学分奖励制度，并制定本办法。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第一章 总则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第一条 </w:t>
      </w:r>
      <w:r>
        <w:rPr>
          <w:rFonts w:ascii="仿宋_GB2312" w:eastAsia="仿宋_GB2312" w:hAnsi="宋体" w:cs="宋体" w:hint="eastAsia"/>
          <w:sz w:val="28"/>
          <w:szCs w:val="28"/>
        </w:rPr>
        <w:t>学生创新学分是指全日制本科生在读期间，在学校认定的各级各类竞赛、科学研究、发明创造、发表论文等方面取得成果，通过申请和认定后所获得的相应学分。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第二条 </w:t>
      </w:r>
      <w:r>
        <w:rPr>
          <w:rFonts w:ascii="仿宋_GB2312" w:eastAsia="仿宋_GB2312" w:hAnsi="宋体" w:cs="宋体" w:hint="eastAsia"/>
          <w:sz w:val="28"/>
          <w:szCs w:val="28"/>
        </w:rPr>
        <w:t>创新学分纳入本科人才培养方案，计入教学计划总学分。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第三条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2018级创新学分作为必修要求，每名本科生应至少取得4 学分。</w:t>
      </w:r>
      <w:r>
        <w:rPr>
          <w:rFonts w:ascii="仿宋_GB2312" w:eastAsia="仿宋_GB2312" w:hAnsi="宋体" w:cs="宋体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sz w:val="28"/>
          <w:szCs w:val="28"/>
        </w:rPr>
        <w:t>级每名本科生应至少取得</w:t>
      </w: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学分。2</w:t>
      </w:r>
      <w:r>
        <w:rPr>
          <w:rFonts w:ascii="仿宋_GB2312" w:eastAsia="仿宋_GB2312" w:hAnsi="宋体" w:cs="宋体"/>
          <w:sz w:val="28"/>
          <w:szCs w:val="28"/>
        </w:rPr>
        <w:t>015</w:t>
      </w:r>
      <w:r>
        <w:rPr>
          <w:rFonts w:ascii="仿宋_GB2312" w:eastAsia="仿宋_GB2312" w:hAnsi="宋体" w:cs="宋体" w:hint="eastAsia"/>
          <w:sz w:val="28"/>
          <w:szCs w:val="28"/>
        </w:rPr>
        <w:t>级、</w:t>
      </w:r>
      <w:r>
        <w:rPr>
          <w:rFonts w:ascii="仿宋_GB2312" w:eastAsia="仿宋_GB2312" w:hAnsi="宋体" w:cs="宋体"/>
          <w:sz w:val="28"/>
          <w:szCs w:val="28"/>
        </w:rPr>
        <w:t>2016</w:t>
      </w:r>
      <w:r>
        <w:rPr>
          <w:rFonts w:ascii="仿宋_GB2312" w:eastAsia="仿宋_GB2312" w:hAnsi="宋体" w:cs="宋体" w:hint="eastAsia"/>
          <w:sz w:val="28"/>
          <w:szCs w:val="28"/>
        </w:rPr>
        <w:t>级每名本科生应至少取得</w:t>
      </w:r>
      <w:r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学分。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 xml:space="preserve">第二章 </w:t>
      </w:r>
      <w:bookmarkStart w:id="0" w:name="_Hlk518921041"/>
      <w:r>
        <w:rPr>
          <w:rFonts w:ascii="仿宋_GB2312" w:eastAsia="仿宋_GB2312" w:hAnsi="宋体" w:cs="宋体" w:hint="eastAsia"/>
          <w:b/>
          <w:sz w:val="28"/>
          <w:szCs w:val="28"/>
        </w:rPr>
        <w:t>认定内容与标准</w:t>
      </w:r>
      <w:bookmarkEnd w:id="0"/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第四条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学生参加学校组织的各类学科竞赛获奖的可获得如下学分：</w:t>
      </w:r>
    </w:p>
    <w:p w:rsidR="0006155C" w:rsidRDefault="009E1BB1">
      <w:pPr>
        <w:tabs>
          <w:tab w:val="left" w:pos="126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1.国际级：一等奖及以上</w:t>
      </w:r>
      <w:r>
        <w:rPr>
          <w:rFonts w:ascii="仿宋_GB2312" w:eastAsia="仿宋_GB2312" w:hAnsi="宋体" w:cs="宋体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学分，二等奖</w:t>
      </w:r>
      <w:r>
        <w:rPr>
          <w:rFonts w:ascii="仿宋_GB2312" w:eastAsia="仿宋_GB2312" w:hAnsi="宋体" w:cs="宋体"/>
          <w:sz w:val="28"/>
          <w:szCs w:val="28"/>
        </w:rPr>
        <w:t>6</w:t>
      </w:r>
      <w:r>
        <w:rPr>
          <w:rFonts w:ascii="仿宋_GB2312" w:eastAsia="仿宋_GB2312" w:hAnsi="宋体" w:cs="宋体" w:hint="eastAsia"/>
          <w:sz w:val="28"/>
          <w:szCs w:val="28"/>
        </w:rPr>
        <w:t>学分，三等奖4学分；</w:t>
      </w:r>
    </w:p>
    <w:p w:rsidR="0006155C" w:rsidRDefault="009E1BB1">
      <w:pPr>
        <w:tabs>
          <w:tab w:val="left" w:pos="126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2.国家级：一等奖及以上</w:t>
      </w:r>
      <w:r>
        <w:rPr>
          <w:rFonts w:ascii="仿宋_GB2312" w:eastAsia="仿宋_GB2312" w:hAnsi="宋体" w:cs="宋体"/>
          <w:sz w:val="28"/>
          <w:szCs w:val="28"/>
        </w:rPr>
        <w:t>6</w:t>
      </w:r>
      <w:r>
        <w:rPr>
          <w:rFonts w:ascii="仿宋_GB2312" w:eastAsia="仿宋_GB2312" w:hAnsi="宋体" w:cs="宋体" w:hint="eastAsia"/>
          <w:sz w:val="28"/>
          <w:szCs w:val="28"/>
        </w:rPr>
        <w:t>学分，二等奖4学分，三等奖3学分；</w:t>
      </w:r>
    </w:p>
    <w:p w:rsidR="0006155C" w:rsidRDefault="009E1BB1">
      <w:pPr>
        <w:tabs>
          <w:tab w:val="left" w:pos="126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3.省级（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含区域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级）：一等奖及以上4学分，二、三等奖3学分；</w:t>
      </w:r>
    </w:p>
    <w:p w:rsidR="0006155C" w:rsidRDefault="009E1BB1">
      <w:pPr>
        <w:tabs>
          <w:tab w:val="left" w:pos="126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4.校 级：一等奖2学分，二、三等奖1学分；</w:t>
      </w:r>
    </w:p>
    <w:p w:rsidR="0006155C" w:rsidRDefault="009E1BB1">
      <w:pPr>
        <w:tabs>
          <w:tab w:val="left" w:pos="126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5.院 级：二等奖及以上1.5学分，三等奖</w:t>
      </w:r>
      <w:r>
        <w:rPr>
          <w:rFonts w:ascii="仿宋_GB2312" w:eastAsia="仿宋_GB2312" w:hAnsi="宋体" w:cs="宋体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学分。</w:t>
      </w:r>
    </w:p>
    <w:p w:rsidR="0006155C" w:rsidRDefault="009E1BB1">
      <w:pPr>
        <w:tabs>
          <w:tab w:val="left" w:pos="126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参加省级及以上学科竞赛未获得奖励的可获得1学分。参加校、院级学科竞赛未获得奖励的可获得</w:t>
      </w:r>
      <w:r>
        <w:rPr>
          <w:rFonts w:ascii="仿宋_GB2312" w:eastAsia="仿宋_GB2312" w:hAnsi="宋体" w:cs="宋体"/>
          <w:sz w:val="28"/>
          <w:szCs w:val="28"/>
        </w:rPr>
        <w:t>0.5</w:t>
      </w:r>
      <w:r>
        <w:rPr>
          <w:rFonts w:ascii="仿宋_GB2312" w:eastAsia="仿宋_GB2312" w:hAnsi="宋体" w:cs="宋体" w:hint="eastAsia"/>
          <w:sz w:val="28"/>
          <w:szCs w:val="28"/>
        </w:rPr>
        <w:t>学分。</w:t>
      </w:r>
    </w:p>
    <w:p w:rsidR="0006155C" w:rsidRDefault="009E1BB1">
      <w:pPr>
        <w:tabs>
          <w:tab w:val="left" w:pos="126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学科竞赛级别界定参照“闽南理工科〔</w:t>
      </w:r>
      <w:r>
        <w:rPr>
          <w:rFonts w:ascii="仿宋_GB2312" w:eastAsia="仿宋_GB2312" w:hAnsi="宋体" w:cs="宋体"/>
          <w:sz w:val="28"/>
          <w:szCs w:val="28"/>
        </w:rPr>
        <w:t>2018〕1号关于印发《闽</w:t>
      </w:r>
      <w:r>
        <w:rPr>
          <w:rFonts w:ascii="仿宋_GB2312" w:eastAsia="仿宋_GB2312" w:hAnsi="宋体" w:cs="宋体"/>
          <w:sz w:val="28"/>
          <w:szCs w:val="28"/>
        </w:rPr>
        <w:lastRenderedPageBreak/>
        <w:t>南理工学院科技竞赛奖励管理办法》的通知</w:t>
      </w:r>
      <w:r>
        <w:rPr>
          <w:rFonts w:ascii="仿宋_GB2312" w:eastAsia="仿宋_GB2312" w:hAnsi="宋体" w:cs="宋体" w:hint="eastAsia"/>
          <w:sz w:val="28"/>
          <w:szCs w:val="28"/>
        </w:rPr>
        <w:t>”文件。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第五条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学生参加大学生创新创业训练计划项目，完成项目计划内容并通过结题验收的：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1.国家级：项目负责人4 学分，其他项目成员总计4 学分；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2.省 级：项目负责人3 学分，其他项目成员总计3 学分；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3.校 级：项目负责人2学分，其他项目成员总计2 学分；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4.经教务处备案的学院层面组织的其它本科生科研训练项目：项目负责人2 学分，其他项目成员总计2学分。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说明：其他项目成员所得学分由项目负责人分配。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第六条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学生发表的论文（指导教师是第一作者，学生是第二作者的视为第一作者）：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1.一类核心学术刊物：第一作者5学分，第二至第四作者依次为3、2、1 学分；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2.二类核心学术刊物：第一作者3学分，第二至第四作者依次为2、1、1 学分；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3.其他公开出版的学术刊物（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含学术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会议论文集）：第一作者 2 学分，第二至第四作者均为1 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第七条</w:t>
      </w:r>
      <w:r>
        <w:rPr>
          <w:rFonts w:ascii="仿宋_GB2312" w:eastAsia="仿宋_GB2312" w:hAnsi="宋体" w:cs="宋体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学生申请专利和软件著作权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1.授权发明专利：第一专利人5 学分，第二至第四专利人依次为3、2、1 学分，其他不计分；（以授权缴费通知书或专利证书为准）：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2.授权实用新型专利：第一专利人3学分，第二至第四专利人依次为2、1、1学分，其他不计分。（以授权缴费通知书或专利证书为准）；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3.授权软件著作权：第一著作权人</w:t>
      </w:r>
      <w:r>
        <w:rPr>
          <w:rFonts w:ascii="仿宋_GB2312" w:eastAsia="仿宋_GB2312" w:hAnsi="宋体" w:cs="宋体"/>
          <w:sz w:val="28"/>
          <w:szCs w:val="28"/>
        </w:rPr>
        <w:t>5</w:t>
      </w:r>
      <w:r>
        <w:rPr>
          <w:rFonts w:ascii="仿宋_GB2312" w:eastAsia="仿宋_GB2312" w:hAnsi="宋体" w:cs="宋体" w:hint="eastAsia"/>
          <w:sz w:val="28"/>
          <w:szCs w:val="28"/>
        </w:rPr>
        <w:t>学分，第二至第四著作权人依次为</w:t>
      </w: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、1 学分。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4.申请专利或著作权，按上述授权积分减半（以受理通知书为准）。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第八条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学术讲座活动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1.参加大学生科技文化艺术节组织开展的科技知识讲座、报告等（主讲），提交学术讲座稿（5000字以上，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附主办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单位证明）可获得1学分。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ab/>
        <w:t>2.参加学院认可的与所学专业相关的学术讲座2次，并撰写不少于3000字（每次）的心得体会可获得0.5学分。累计不能超过1学分。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第九条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各类职业资格认证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1、外语考试（含英语、日语、德语、韩语、法语等）：六级证书、口语证书、专业八级证书、翻译资格证书、商务英语（B</w:t>
      </w:r>
      <w:r>
        <w:rPr>
          <w:rFonts w:ascii="仿宋_GB2312" w:eastAsia="仿宋_GB2312" w:hAnsi="宋体" w:cs="宋体"/>
          <w:sz w:val="28"/>
          <w:szCs w:val="28"/>
        </w:rPr>
        <w:t>EC</w:t>
      </w:r>
      <w:r>
        <w:rPr>
          <w:rFonts w:ascii="仿宋_GB2312" w:eastAsia="仿宋_GB2312" w:hAnsi="宋体" w:cs="宋体" w:hint="eastAsia"/>
          <w:sz w:val="28"/>
          <w:szCs w:val="28"/>
        </w:rPr>
        <w:t>）证书各2分，四级证书1学分。</w:t>
      </w:r>
    </w:p>
    <w:p w:rsidR="0006155C" w:rsidRDefault="009E1BB1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、计算机类考试（含全国计算机等级考试、I</w:t>
      </w:r>
      <w:r>
        <w:rPr>
          <w:rFonts w:ascii="仿宋_GB2312" w:eastAsia="仿宋_GB2312" w:hAnsi="宋体" w:cs="宋体"/>
          <w:sz w:val="28"/>
          <w:szCs w:val="28"/>
        </w:rPr>
        <w:t>T</w:t>
      </w:r>
      <w:r>
        <w:rPr>
          <w:rFonts w:ascii="仿宋_GB2312" w:eastAsia="仿宋_GB2312" w:hAnsi="宋体" w:cs="宋体" w:hint="eastAsia"/>
          <w:sz w:val="28"/>
          <w:szCs w:val="28"/>
        </w:rPr>
        <w:t>认证等）：全国计算机等级考试三级证书2学分，全国计算机等级考试二级证书1学分，计算机类中级资格证书2学分，计算机类高级资格证书4学分。</w:t>
      </w:r>
    </w:p>
    <w:p w:rsidR="0006155C" w:rsidRDefault="009E1BB1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、普通话考试：普通话等级考试证书二级甲等1学分，普通话等级考试证书一级乙等以上2学分。</w:t>
      </w:r>
    </w:p>
    <w:p w:rsidR="0006155C" w:rsidRPr="0072156B" w:rsidRDefault="009E1BB1" w:rsidP="0072156B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color w:val="0000FF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4、其他专业（资格）考试：</w:t>
      </w:r>
      <w:r w:rsidR="0072156B" w:rsidRPr="00920B22">
        <w:rPr>
          <w:rFonts w:ascii="仿宋_GB2312" w:eastAsia="仿宋_GB2312" w:hAnsi="宋体" w:cs="宋体" w:hint="eastAsia"/>
          <w:bCs/>
          <w:sz w:val="28"/>
          <w:szCs w:val="28"/>
        </w:rPr>
        <w:t>学生获得与专业相关的职业认证证书的，可获得2学分。其余1学分。</w:t>
      </w:r>
    </w:p>
    <w:p w:rsidR="0006155C" w:rsidRDefault="009E1BB1">
      <w:pPr>
        <w:adjustRightInd w:val="0"/>
        <w:snapToGrid w:val="0"/>
        <w:spacing w:line="360" w:lineRule="auto"/>
        <w:ind w:firstLine="57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说明：其它未列职业资格证书（中华人民共和国人力资源和社会保障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部国家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职业资格证书查询网能查得到），可由学院参照同类同级别证书，认定创新学分。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第十条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文化、艺术、体育类竞赛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、国家级团体一等奖及以上每人</w:t>
      </w: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学分，个人一等奖</w:t>
      </w:r>
      <w:r>
        <w:rPr>
          <w:rFonts w:ascii="仿宋_GB2312" w:eastAsia="仿宋_GB2312" w:hAnsi="宋体" w:cs="宋体"/>
          <w:sz w:val="28"/>
          <w:szCs w:val="28"/>
        </w:rPr>
        <w:t>4</w:t>
      </w:r>
      <w:r>
        <w:rPr>
          <w:rFonts w:ascii="仿宋_GB2312" w:eastAsia="仿宋_GB2312" w:hAnsi="宋体" w:cs="宋体" w:hint="eastAsia"/>
          <w:sz w:val="28"/>
          <w:szCs w:val="28"/>
        </w:rPr>
        <w:t>学分，国家团体二、三等奖每人</w:t>
      </w:r>
      <w:r>
        <w:rPr>
          <w:rFonts w:ascii="仿宋_GB2312" w:eastAsia="仿宋_GB2312" w:hAnsi="宋体" w:cs="宋体"/>
          <w:sz w:val="28"/>
          <w:szCs w:val="28"/>
        </w:rPr>
        <w:t>1.5</w:t>
      </w:r>
      <w:r>
        <w:rPr>
          <w:rFonts w:ascii="仿宋_GB2312" w:eastAsia="仿宋_GB2312" w:hAnsi="宋体" w:cs="宋体" w:hint="eastAsia"/>
          <w:sz w:val="28"/>
          <w:szCs w:val="28"/>
        </w:rPr>
        <w:t>学分，个人二、三等奖</w:t>
      </w: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学分。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2、省级团体一等奖及以上每人</w:t>
      </w:r>
      <w:r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学分，个人一等奖及以上</w:t>
      </w: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学分，省级团体二、三等奖每人1学分，个人二、三等奖</w:t>
      </w:r>
      <w:r>
        <w:rPr>
          <w:rFonts w:ascii="仿宋_GB2312" w:eastAsia="仿宋_GB2312" w:hAnsi="宋体" w:cs="宋体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学分。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、校级团体一等奖及以上每人</w:t>
      </w:r>
      <w:r>
        <w:rPr>
          <w:rFonts w:ascii="仿宋_GB2312" w:eastAsia="仿宋_GB2312" w:hAnsi="宋体" w:cs="宋体"/>
          <w:sz w:val="28"/>
          <w:szCs w:val="28"/>
        </w:rPr>
        <w:t>0.5</w:t>
      </w:r>
      <w:r>
        <w:rPr>
          <w:rFonts w:ascii="仿宋_GB2312" w:eastAsia="仿宋_GB2312" w:hAnsi="宋体" w:cs="宋体" w:hint="eastAsia"/>
          <w:sz w:val="28"/>
          <w:szCs w:val="28"/>
        </w:rPr>
        <w:t>学分，校级个人一等奖及以上1学分；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第十一条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社会实践活动</w:t>
      </w:r>
    </w:p>
    <w:p w:rsidR="0006155C" w:rsidRPr="00DD5CD9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/>
          <w:bCs/>
          <w:color w:val="0000FF"/>
          <w:sz w:val="28"/>
          <w:szCs w:val="28"/>
        </w:rPr>
        <w:t xml:space="preserve">  </w:t>
      </w:r>
      <w:r w:rsidRPr="00DD5CD9">
        <w:rPr>
          <w:rFonts w:ascii="仿宋_GB2312" w:eastAsia="仿宋_GB2312" w:hAnsi="宋体" w:cs="宋体" w:hint="eastAsia"/>
          <w:bCs/>
          <w:sz w:val="28"/>
          <w:szCs w:val="28"/>
        </w:rPr>
        <w:t xml:space="preserve"> 1、参加志愿者行动（累计1周）并提</w:t>
      </w:r>
      <w:bookmarkStart w:id="1" w:name="_GoBack"/>
      <w:bookmarkEnd w:id="1"/>
      <w:r w:rsidRPr="00DD5CD9">
        <w:rPr>
          <w:rFonts w:ascii="仿宋_GB2312" w:eastAsia="仿宋_GB2312" w:hAnsi="宋体" w:cs="宋体" w:hint="eastAsia"/>
          <w:bCs/>
          <w:sz w:val="28"/>
          <w:szCs w:val="28"/>
        </w:rPr>
        <w:t>前相关证明材料，1学分；（</w:t>
      </w:r>
      <w:r w:rsidR="00DD5CD9" w:rsidRPr="00DD5CD9">
        <w:rPr>
          <w:rFonts w:ascii="仿宋_GB2312" w:eastAsia="仿宋_GB2312" w:hAnsi="宋体" w:cs="宋体" w:hint="eastAsia"/>
          <w:bCs/>
          <w:sz w:val="28"/>
          <w:szCs w:val="28"/>
        </w:rPr>
        <w:t>只能</w:t>
      </w:r>
      <w:r w:rsidRPr="00DD5CD9">
        <w:rPr>
          <w:rFonts w:ascii="仿宋_GB2312" w:eastAsia="仿宋_GB2312" w:hAnsi="宋体" w:cs="宋体" w:hint="eastAsia"/>
          <w:bCs/>
          <w:sz w:val="28"/>
          <w:szCs w:val="28"/>
        </w:rPr>
        <w:t>认定一次且只有</w:t>
      </w:r>
      <w:r w:rsidR="00DD5CD9" w:rsidRPr="00DD5CD9">
        <w:rPr>
          <w:rFonts w:ascii="仿宋_GB2312" w:eastAsia="仿宋_GB2312" w:hAnsi="宋体" w:cs="宋体" w:hint="eastAsia"/>
          <w:bCs/>
          <w:sz w:val="28"/>
          <w:szCs w:val="28"/>
        </w:rPr>
        <w:t>1</w:t>
      </w:r>
      <w:r w:rsidRPr="00DD5CD9">
        <w:rPr>
          <w:rFonts w:ascii="仿宋_GB2312" w:eastAsia="仿宋_GB2312" w:hAnsi="宋体" w:cs="宋体" w:hint="eastAsia"/>
          <w:bCs/>
          <w:sz w:val="28"/>
          <w:szCs w:val="28"/>
        </w:rPr>
        <w:t>学分）</w:t>
      </w:r>
    </w:p>
    <w:p w:rsidR="0006155C" w:rsidRPr="00DD5CD9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bCs/>
          <w:sz w:val="28"/>
          <w:szCs w:val="28"/>
        </w:rPr>
      </w:pPr>
      <w:r w:rsidRPr="00DD5CD9">
        <w:rPr>
          <w:rFonts w:ascii="仿宋_GB2312" w:eastAsia="仿宋_GB2312" w:hAnsi="宋体" w:cs="宋体"/>
          <w:bCs/>
          <w:sz w:val="28"/>
          <w:szCs w:val="28"/>
        </w:rPr>
        <w:t xml:space="preserve">    2</w:t>
      </w:r>
      <w:r w:rsidRPr="00DD5CD9">
        <w:rPr>
          <w:rFonts w:ascii="仿宋_GB2312" w:eastAsia="仿宋_GB2312" w:hAnsi="宋体" w:cs="宋体" w:hint="eastAsia"/>
          <w:bCs/>
          <w:sz w:val="28"/>
          <w:szCs w:val="28"/>
        </w:rPr>
        <w:t>、参加暑期社会实践活动，并提交活动计划，有关证明材料、活动总结及调查报告等材料1学分。（</w:t>
      </w:r>
      <w:r w:rsidR="00DD5CD9" w:rsidRPr="00DD5CD9">
        <w:rPr>
          <w:rFonts w:ascii="仿宋_GB2312" w:eastAsia="仿宋_GB2312" w:hAnsi="宋体" w:cs="宋体" w:hint="eastAsia"/>
          <w:bCs/>
          <w:sz w:val="28"/>
          <w:szCs w:val="28"/>
        </w:rPr>
        <w:t>只能</w:t>
      </w:r>
      <w:r w:rsidRPr="00DD5CD9">
        <w:rPr>
          <w:rFonts w:ascii="仿宋_GB2312" w:eastAsia="仿宋_GB2312" w:hAnsi="宋体" w:cs="宋体" w:hint="eastAsia"/>
          <w:bCs/>
          <w:sz w:val="28"/>
          <w:szCs w:val="28"/>
        </w:rPr>
        <w:t>认定一次且只有</w:t>
      </w:r>
      <w:r w:rsidR="00DD5CD9" w:rsidRPr="00DD5CD9">
        <w:rPr>
          <w:rFonts w:ascii="仿宋_GB2312" w:eastAsia="仿宋_GB2312" w:hAnsi="宋体" w:cs="宋体" w:hint="eastAsia"/>
          <w:bCs/>
          <w:sz w:val="28"/>
          <w:szCs w:val="28"/>
        </w:rPr>
        <w:t>1</w:t>
      </w:r>
      <w:r w:rsidRPr="00DD5CD9">
        <w:rPr>
          <w:rFonts w:ascii="仿宋_GB2312" w:eastAsia="仿宋_GB2312" w:hAnsi="宋体" w:cs="宋体" w:hint="eastAsia"/>
          <w:bCs/>
          <w:sz w:val="28"/>
          <w:szCs w:val="28"/>
        </w:rPr>
        <w:t>学分）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第三章 记分原则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第十二条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项目或作品第一作者单位必须为闽南理工学院。同一项目或作品按照所获得最高奖项获得学分，不得重复计算。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第十三条 </w:t>
      </w:r>
      <w:r>
        <w:rPr>
          <w:rFonts w:ascii="仿宋_GB2312" w:eastAsia="仿宋_GB2312" w:hAnsi="宋体" w:cs="宋体" w:hint="eastAsia"/>
          <w:sz w:val="28"/>
          <w:szCs w:val="28"/>
        </w:rPr>
        <w:t>创新学分累计超过4学分的，超过部分可冲抵专业选修课学分，累计冲抵不超过4 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第十四条 学生至少要参加一次学科竞赛或大学生创新创业训练项目。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第四章 组织实施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第十五条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创新学分认定实行校、院两级管理，学生申请、学院审核、教务处认定。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第十六条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教务处在分管校领导的指导下，负责组织、管理全校创新学分认定工作：制定认定工作的有关文件；负责管理教务管理系统中创新学分。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第十七条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学院成立以院长担任组长的“创新学分认定工作组”（简称“工作组”），负责创新学分认定的具体工作。工作组按照学校的有关规定和要求，结合学院学科专业特点，制定本学院创新学分认定的实施细则；组织、落实本学院创新学分的认定管理工作；指定专人负责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创新学分的登记及录入工作。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第十八条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每学期开学后3至5周，认定上一学期的创新教育学分。由学生本人提出申请，填写《闽南理工学院学生创新教育学分申请表》，并附相关材料原件和复印件，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交项目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的组织及考核单位审查认定。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第十九条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创新学分认定程序：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1.大学生创新创业训练计划项目、基础创新科研基金（本科生项目）和院级科研训练项目由学院根据项目结题验收情况进行认定，登记创新学分，并报教务处备案。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2.学业竞赛、论文、发明专利等认定程序如下：</w:t>
      </w:r>
    </w:p>
    <w:p w:rsidR="0006155C" w:rsidRDefault="009E1BB1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（1）学生申请。学生填写创新学分申请表，并附相关支撑材料，提交学院。</w:t>
      </w:r>
    </w:p>
    <w:p w:rsidR="0006155C" w:rsidRDefault="009E1BB1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（2）学院审核。学院工作小组负责审核和认定学生申报的创新学分，报给教务处。</w:t>
      </w:r>
    </w:p>
    <w:p w:rsidR="0006155C" w:rsidRDefault="009E1BB1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（3）学校审核。教务处对申报情况进行审核。</w:t>
      </w:r>
    </w:p>
    <w:p w:rsidR="0006155C" w:rsidRDefault="009E1BB1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（4）学分登记。经学校认定的创新学分，由学院教学秘书负责登记并录入教务管理系统。</w:t>
      </w:r>
    </w:p>
    <w:p w:rsidR="0006155C" w:rsidRDefault="009E1BB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 学分登记原则：课程名称登记为《创新实践》，必修教学环节，根据所获得的累计创新学分数，确定《创新实践》的成绩等级：A≥6 学分、5 学分≤B＜6 学分、5学分为C 、4 学分为D、少于4 学分为F。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第二十条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对于创新能力突出、取得较多创新学分的学生，在评奖评优时，在同等条件下优先考虑。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第五章 其 他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第二十一条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学生对创新学分认定有异议的，可向学院或学校教务处提出书面复核申请。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lastRenderedPageBreak/>
        <w:t>第二十二条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创新学分申请表和相关证明材料内容必须真实可靠。弄虚作假者，取消所获得的相关学分，并按作弊违纪处分规定进行处理。相关责任人按照学校有关规定做相应处理。</w:t>
      </w:r>
    </w:p>
    <w:p w:rsidR="0006155C" w:rsidRDefault="009E1BB1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第六章 附 则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第二十三条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本办法自201</w:t>
      </w:r>
      <w:r>
        <w:rPr>
          <w:rFonts w:ascii="仿宋_GB2312" w:eastAsia="仿宋_GB2312" w:hAnsi="宋体" w:cs="宋体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级学生开始实行，(</w:t>
      </w:r>
      <w:r>
        <w:rPr>
          <w:rFonts w:ascii="仿宋_GB2312" w:eastAsia="仿宋_GB2312" w:hAnsi="宋体" w:cs="宋体"/>
          <w:sz w:val="28"/>
          <w:szCs w:val="28"/>
        </w:rPr>
        <w:t>2016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>
        <w:rPr>
          <w:rFonts w:ascii="仿宋_GB2312" w:eastAsia="仿宋_GB2312" w:hAnsi="宋体" w:cs="宋体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sz w:val="28"/>
          <w:szCs w:val="28"/>
        </w:rPr>
        <w:t>7级创新学分认定标准参照本办法第二章认定内容与标准</w:t>
      </w:r>
      <w:r>
        <w:rPr>
          <w:rFonts w:ascii="仿宋_GB2312" w:eastAsia="仿宋_GB2312" w:hAnsi="宋体" w:cs="宋体"/>
          <w:sz w:val="28"/>
          <w:szCs w:val="28"/>
        </w:rPr>
        <w:t>)</w:t>
      </w:r>
      <w:r>
        <w:rPr>
          <w:rFonts w:ascii="仿宋_GB2312" w:eastAsia="仿宋_GB2312" w:hAnsi="宋体" w:cs="宋体" w:hint="eastAsia"/>
          <w:sz w:val="28"/>
          <w:szCs w:val="28"/>
        </w:rPr>
        <w:t>，原有本科生创新创业有关的规定如与本办法不符，以本办法为准。</w:t>
      </w:r>
    </w:p>
    <w:p w:rsidR="0006155C" w:rsidRDefault="009E1BB1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第二十四条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本办法由电子与电气工程学院负责解释。</w:t>
      </w: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06155C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p w:rsidR="0006155C" w:rsidRDefault="009E1BB1">
      <w:pPr>
        <w:adjustRightInd w:val="0"/>
        <w:snapToGrid w:val="0"/>
        <w:spacing w:line="360" w:lineRule="auto"/>
        <w:jc w:val="righ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电子与电气工程学院    </w:t>
      </w:r>
    </w:p>
    <w:p w:rsidR="0006155C" w:rsidRDefault="009E1BB1">
      <w:pPr>
        <w:adjustRightInd w:val="0"/>
        <w:snapToGrid w:val="0"/>
        <w:spacing w:line="360" w:lineRule="auto"/>
        <w:jc w:val="righ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2018年7月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sectPr w:rsidR="00061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30B" w:rsidRDefault="0068630B" w:rsidP="0072156B">
      <w:r>
        <w:separator/>
      </w:r>
    </w:p>
  </w:endnote>
  <w:endnote w:type="continuationSeparator" w:id="0">
    <w:p w:rsidR="0068630B" w:rsidRDefault="0068630B" w:rsidP="007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30B" w:rsidRDefault="0068630B" w:rsidP="0072156B">
      <w:r>
        <w:separator/>
      </w:r>
    </w:p>
  </w:footnote>
  <w:footnote w:type="continuationSeparator" w:id="0">
    <w:p w:rsidR="0068630B" w:rsidRDefault="0068630B" w:rsidP="0072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7C"/>
    <w:rsid w:val="0002373F"/>
    <w:rsid w:val="00037154"/>
    <w:rsid w:val="0006155C"/>
    <w:rsid w:val="00063F54"/>
    <w:rsid w:val="00077AB4"/>
    <w:rsid w:val="000C0D4E"/>
    <w:rsid w:val="000D4C6B"/>
    <w:rsid w:val="000F383C"/>
    <w:rsid w:val="00183693"/>
    <w:rsid w:val="001A15E7"/>
    <w:rsid w:val="001C4D0A"/>
    <w:rsid w:val="00227B05"/>
    <w:rsid w:val="00276F6C"/>
    <w:rsid w:val="002B7EFD"/>
    <w:rsid w:val="00340D9D"/>
    <w:rsid w:val="003A2A75"/>
    <w:rsid w:val="003F4F2F"/>
    <w:rsid w:val="0045405C"/>
    <w:rsid w:val="004B3AC7"/>
    <w:rsid w:val="004D2B07"/>
    <w:rsid w:val="005D7455"/>
    <w:rsid w:val="00604B63"/>
    <w:rsid w:val="00605F8A"/>
    <w:rsid w:val="00625F70"/>
    <w:rsid w:val="0068630B"/>
    <w:rsid w:val="006D1CB1"/>
    <w:rsid w:val="0072156B"/>
    <w:rsid w:val="00846A83"/>
    <w:rsid w:val="0085341D"/>
    <w:rsid w:val="008903A5"/>
    <w:rsid w:val="008E7B55"/>
    <w:rsid w:val="00904183"/>
    <w:rsid w:val="00920B22"/>
    <w:rsid w:val="0097152E"/>
    <w:rsid w:val="009E1BB1"/>
    <w:rsid w:val="00A55D87"/>
    <w:rsid w:val="00A9319F"/>
    <w:rsid w:val="00AA5C2B"/>
    <w:rsid w:val="00AF4648"/>
    <w:rsid w:val="00AF6155"/>
    <w:rsid w:val="00B3093E"/>
    <w:rsid w:val="00B427A6"/>
    <w:rsid w:val="00B531BA"/>
    <w:rsid w:val="00BD32E1"/>
    <w:rsid w:val="00C33261"/>
    <w:rsid w:val="00C55E85"/>
    <w:rsid w:val="00C731C5"/>
    <w:rsid w:val="00CD3AD3"/>
    <w:rsid w:val="00D9048B"/>
    <w:rsid w:val="00D95C88"/>
    <w:rsid w:val="00DA496A"/>
    <w:rsid w:val="00DD5CD9"/>
    <w:rsid w:val="00DE0586"/>
    <w:rsid w:val="00DE2207"/>
    <w:rsid w:val="00DE6E0F"/>
    <w:rsid w:val="00E22358"/>
    <w:rsid w:val="00ED7404"/>
    <w:rsid w:val="00EE5A7C"/>
    <w:rsid w:val="00EF43CD"/>
    <w:rsid w:val="00F047BA"/>
    <w:rsid w:val="00F3667B"/>
    <w:rsid w:val="00F56F13"/>
    <w:rsid w:val="00F635C9"/>
    <w:rsid w:val="00F91661"/>
    <w:rsid w:val="0C3C368F"/>
    <w:rsid w:val="0CD663CC"/>
    <w:rsid w:val="0F9A6A8F"/>
    <w:rsid w:val="12020DB4"/>
    <w:rsid w:val="1A2B5213"/>
    <w:rsid w:val="1FF87806"/>
    <w:rsid w:val="20452DCC"/>
    <w:rsid w:val="24DF602D"/>
    <w:rsid w:val="29397DBB"/>
    <w:rsid w:val="34EC6869"/>
    <w:rsid w:val="3FAA748B"/>
    <w:rsid w:val="414F1189"/>
    <w:rsid w:val="4E264649"/>
    <w:rsid w:val="539C18ED"/>
    <w:rsid w:val="5A7D3FE5"/>
    <w:rsid w:val="5C104B75"/>
    <w:rsid w:val="65126712"/>
    <w:rsid w:val="65467796"/>
    <w:rsid w:val="6ED45B3C"/>
    <w:rsid w:val="76C40B0C"/>
    <w:rsid w:val="76CE17E7"/>
    <w:rsid w:val="779376F4"/>
    <w:rsid w:val="79B70B35"/>
    <w:rsid w:val="7F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0E542"/>
  <w15:docId w15:val="{077FDDAD-BFE6-47EB-B9FD-35A2C8BE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rticletitle">
    <w:name w:val="article_titl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468</Words>
  <Characters>2669</Characters>
  <Application>Microsoft Office Word</Application>
  <DocSecurity>0</DocSecurity>
  <Lines>22</Lines>
  <Paragraphs>6</Paragraphs>
  <ScaleCrop>false</ScaleCrop>
  <Company>CHINA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52</cp:revision>
  <dcterms:created xsi:type="dcterms:W3CDTF">2018-06-25T09:29:00Z</dcterms:created>
  <dcterms:modified xsi:type="dcterms:W3CDTF">2018-09-19T03:19:00Z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